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8DC" w:rsidRPr="00631E41" w:rsidRDefault="00065AD4" w:rsidP="00B548DC">
      <w:pPr>
        <w:ind w:right="-1276"/>
        <w:jc w:val="center"/>
        <w:rPr>
          <w:b/>
          <w:bCs/>
          <w:sz w:val="28"/>
          <w:u w:val="single"/>
        </w:rPr>
      </w:pPr>
      <w:r w:rsidRPr="00631E41">
        <w:rPr>
          <w:b/>
          <w:bCs/>
          <w:sz w:val="28"/>
          <w:u w:val="single"/>
        </w:rPr>
        <w:t>TAR UMBRIA E FUNZIONI ZOOFILE DELLE GUARDIE WWF: UN SUCCESSO IMPORTANTE</w:t>
      </w:r>
    </w:p>
    <w:p w:rsidR="00B548DC" w:rsidRPr="00B548DC" w:rsidRDefault="00065AD4" w:rsidP="00B548DC">
      <w:pPr>
        <w:spacing w:line="360" w:lineRule="auto"/>
        <w:ind w:right="-1276"/>
        <w:rPr>
          <w:b/>
          <w:bCs/>
          <w:sz w:val="28"/>
        </w:rPr>
      </w:pPr>
    </w:p>
    <w:p w:rsidR="00B548DC" w:rsidRPr="00B548DC" w:rsidRDefault="00065AD4" w:rsidP="00B548DC">
      <w:pPr>
        <w:spacing w:line="360" w:lineRule="auto"/>
        <w:ind w:right="-1276"/>
        <w:rPr>
          <w:b/>
          <w:bCs/>
          <w:sz w:val="28"/>
          <w:u w:val="single"/>
          <w:lang w:val="it-IT"/>
        </w:rPr>
      </w:pPr>
      <w:r w:rsidRPr="00B548DC">
        <w:rPr>
          <w:b/>
          <w:bCs/>
          <w:sz w:val="28"/>
        </w:rPr>
        <w:t xml:space="preserve"> </w:t>
      </w:r>
      <w:r w:rsidRPr="00B548DC">
        <w:rPr>
          <w:b/>
          <w:bCs/>
          <w:sz w:val="28"/>
          <w:u w:val="single"/>
        </w:rPr>
        <w:t xml:space="preserve">Nota a commento sentenza Tar Umbria </w:t>
      </w:r>
      <w:r w:rsidRPr="00B548DC">
        <w:rPr>
          <w:b/>
          <w:bCs/>
          <w:sz w:val="28"/>
          <w:u w:val="single"/>
          <w:lang w:val="it-IT"/>
        </w:rPr>
        <w:t xml:space="preserve"> n. 193 del 27 aprile 2005</w:t>
      </w:r>
    </w:p>
    <w:p w:rsidR="00B548DC" w:rsidRDefault="00065AD4" w:rsidP="00B548DC">
      <w:pPr>
        <w:ind w:left="-426" w:right="-1276"/>
        <w:jc w:val="both"/>
        <w:rPr>
          <w:b/>
          <w:bCs/>
          <w:sz w:val="28"/>
        </w:rPr>
      </w:pPr>
    </w:p>
    <w:p w:rsidR="00B548DC" w:rsidRDefault="00065AD4" w:rsidP="00B548DC">
      <w:pPr>
        <w:ind w:left="-426" w:right="-1276"/>
        <w:jc w:val="both"/>
        <w:rPr>
          <w:b/>
          <w:bCs/>
          <w:sz w:val="28"/>
        </w:rPr>
      </w:pPr>
    </w:p>
    <w:p w:rsidR="00B548DC" w:rsidRDefault="00065AD4" w:rsidP="00B548DC">
      <w:pPr>
        <w:ind w:left="-426"/>
        <w:jc w:val="both"/>
        <w:rPr>
          <w:b/>
          <w:bCs/>
          <w:sz w:val="28"/>
        </w:rPr>
      </w:pPr>
    </w:p>
    <w:p w:rsidR="00B548DC" w:rsidRDefault="00065AD4" w:rsidP="00B548DC">
      <w:pPr>
        <w:ind w:left="-1276" w:right="-1276"/>
        <w:jc w:val="both"/>
        <w:rPr>
          <w:sz w:val="28"/>
        </w:rPr>
      </w:pPr>
      <w:r>
        <w:rPr>
          <w:b/>
          <w:bCs/>
          <w:sz w:val="28"/>
        </w:rPr>
        <w:t xml:space="preserve">            A cura dell’Avv. Daniele Carissimi</w:t>
      </w:r>
    </w:p>
    <w:p w:rsidR="00B548DC" w:rsidRDefault="00065AD4" w:rsidP="00B548DC">
      <w:pPr>
        <w:ind w:left="-426" w:right="-1276"/>
        <w:jc w:val="both"/>
        <w:rPr>
          <w:sz w:val="28"/>
        </w:rPr>
      </w:pPr>
    </w:p>
    <w:p w:rsidR="00B548DC" w:rsidRDefault="00065AD4" w:rsidP="00B548DC">
      <w:pPr>
        <w:ind w:left="-426" w:right="-1276"/>
        <w:jc w:val="both"/>
        <w:rPr>
          <w:sz w:val="28"/>
        </w:rPr>
      </w:pPr>
      <w:r>
        <w:rPr>
          <w:sz w:val="28"/>
        </w:rPr>
        <w:t>Con una significativa e quanto mai attesa pronuncia, il Tribunale Am</w:t>
      </w:r>
      <w:r>
        <w:rPr>
          <w:sz w:val="28"/>
        </w:rPr>
        <w:t>ministrativo Regionale della Regione Umbria ha contribuito a delineare i confini di  una tematica particolarmente delicata e dibattuta: il ruolo e le funzioni delle guardie particolari giurate per la vigilanza zoofila.</w:t>
      </w:r>
    </w:p>
    <w:p w:rsidR="00B548DC" w:rsidRDefault="00065AD4" w:rsidP="00B548DC">
      <w:pPr>
        <w:ind w:left="-426" w:right="-1276"/>
        <w:jc w:val="both"/>
        <w:rPr>
          <w:sz w:val="28"/>
        </w:rPr>
      </w:pPr>
      <w:r>
        <w:rPr>
          <w:sz w:val="28"/>
        </w:rPr>
        <w:t>Con la sentenza n. 535/2004 (Poma Ant</w:t>
      </w:r>
      <w:r>
        <w:rPr>
          <w:sz w:val="28"/>
        </w:rPr>
        <w:t>onella c/ Ufficio Territoriale del Governo di Terni e Ministero dell’Interno – riportata integralmente in calce), l’Organo giudicante ha ritenuto di annullare un provvedimento  di diniego seguente una richiesta di rinnovo del decreto di approvazione presen</w:t>
      </w:r>
      <w:r>
        <w:rPr>
          <w:sz w:val="28"/>
        </w:rPr>
        <w:t>tato da una guardia giurata.</w:t>
      </w:r>
    </w:p>
    <w:p w:rsidR="00B548DC" w:rsidRDefault="00065AD4" w:rsidP="00B548DC">
      <w:pPr>
        <w:ind w:left="-426" w:right="-1276"/>
        <w:jc w:val="both"/>
        <w:rPr>
          <w:sz w:val="28"/>
        </w:rPr>
      </w:pPr>
      <w:r>
        <w:rPr>
          <w:sz w:val="28"/>
        </w:rPr>
        <w:t xml:space="preserve">Le motivazioni per le quali era stato negato il rinnovo sono state articolate dalla Prefettura emanante sulla base della verifica della mancanza di un’apposita legge regionale (nel territorio regionale umbro) di copertura. </w:t>
      </w:r>
    </w:p>
    <w:p w:rsidR="00B548DC" w:rsidRDefault="00065AD4" w:rsidP="00B548DC">
      <w:pPr>
        <w:ind w:left="-426" w:right="-1276"/>
        <w:jc w:val="both"/>
        <w:rPr>
          <w:sz w:val="28"/>
        </w:rPr>
      </w:pPr>
      <w:r>
        <w:rPr>
          <w:sz w:val="28"/>
        </w:rPr>
        <w:t>Per</w:t>
      </w:r>
      <w:r>
        <w:rPr>
          <w:sz w:val="28"/>
        </w:rPr>
        <w:t xml:space="preserve"> inciso, tale provvedimento autorizzatorio, in precedenza,  era stato comunque emanato (non potremmo altrimenti parlare di rinnovo) nonostante (anche allora vi fosse)  assenza  di legge regionale.</w:t>
      </w:r>
    </w:p>
    <w:p w:rsidR="00B548DC" w:rsidRDefault="00065AD4" w:rsidP="00B548DC">
      <w:pPr>
        <w:ind w:left="-426" w:right="-1276"/>
        <w:jc w:val="both"/>
        <w:rPr>
          <w:sz w:val="28"/>
        </w:rPr>
      </w:pPr>
      <w:r>
        <w:rPr>
          <w:sz w:val="28"/>
        </w:rPr>
        <w:t>Non volendo soffermarsi oltre sulle speciose contraddizioni</w:t>
      </w:r>
      <w:r>
        <w:rPr>
          <w:sz w:val="28"/>
        </w:rPr>
        <w:t xml:space="preserve"> censurabili nel provvedimento annullato, la sentenza offre lo spunto per spendere alcune considerazioni in ordine a tali soggetti – le guardie giurate volontarie - che, benché incensati per l’elevato contributo sociale fornito, non godono di medesimo oppo</w:t>
      </w:r>
      <w:r>
        <w:rPr>
          <w:sz w:val="28"/>
        </w:rPr>
        <w:t>rtuno riconoscimento in sede giuridica, nonostante la portata delle funzioni svolte.</w:t>
      </w:r>
    </w:p>
    <w:p w:rsidR="00B548DC" w:rsidRDefault="00065AD4" w:rsidP="00B548DC">
      <w:pPr>
        <w:ind w:left="-426" w:right="-1276"/>
        <w:jc w:val="both"/>
        <w:rPr>
          <w:sz w:val="28"/>
        </w:rPr>
      </w:pPr>
      <w:r>
        <w:rPr>
          <w:sz w:val="28"/>
        </w:rPr>
        <w:t>Malgrado, infatti, si siano succedute pronunce giurisprudenziali di segno opposto, in vigenza di leggi regionali non sempre sovrapponibili nei contenuti, può ritenersi  pa</w:t>
      </w:r>
      <w:r>
        <w:rPr>
          <w:sz w:val="28"/>
        </w:rPr>
        <w:t>cifico sostenere che le guardie zoofile rivestano la qualifica di  pubblici ufficiali ai sensi degli artt. 57 c.p.p., 133 e 134 R.D. 18 giugno 1931 n.773.</w:t>
      </w:r>
    </w:p>
    <w:p w:rsidR="00B548DC" w:rsidRDefault="00065AD4" w:rsidP="00B548DC">
      <w:pPr>
        <w:ind w:left="-426" w:right="-1276"/>
        <w:jc w:val="both"/>
        <w:rPr>
          <w:sz w:val="28"/>
        </w:rPr>
      </w:pPr>
      <w:r>
        <w:rPr>
          <w:sz w:val="28"/>
        </w:rPr>
        <w:t>Il segno ondivago dei provvedimenti amministrativi ha contribuito a confondere i labili confini delle</w:t>
      </w:r>
      <w:r>
        <w:rPr>
          <w:sz w:val="28"/>
        </w:rPr>
        <w:t xml:space="preserve"> definizioni.</w:t>
      </w:r>
    </w:p>
    <w:p w:rsidR="00B548DC" w:rsidRDefault="00065AD4" w:rsidP="00B548DC">
      <w:pPr>
        <w:ind w:left="-426" w:right="-1276"/>
        <w:jc w:val="both"/>
        <w:rPr>
          <w:sz w:val="28"/>
        </w:rPr>
      </w:pPr>
      <w:r>
        <w:rPr>
          <w:sz w:val="28"/>
        </w:rPr>
        <w:lastRenderedPageBreak/>
        <w:t>Molte pronunce hanno statuito che non si possa escludere la qualifica di agenti di polizia giudiziaria alle guardie volontarie delle associazioni di protezione dell’ambiente riconosciute (nel caso in esame la ricorrente è guardia volontaria d</w:t>
      </w:r>
      <w:r>
        <w:rPr>
          <w:sz w:val="28"/>
        </w:rPr>
        <w:t>el WWF) sulla base dell’art. 27 e 30 della legge 157 del giorno 11 febbraio 1992 laddove espressamente attribuiscono alle medesime associazioni un compito di vigilanza venatoria.</w:t>
      </w:r>
    </w:p>
    <w:p w:rsidR="00B548DC" w:rsidRDefault="00065AD4" w:rsidP="00B548DC">
      <w:pPr>
        <w:ind w:left="-426" w:right="-1276"/>
        <w:jc w:val="both"/>
        <w:rPr>
          <w:sz w:val="28"/>
        </w:rPr>
      </w:pPr>
      <w:r>
        <w:rPr>
          <w:sz w:val="28"/>
        </w:rPr>
        <w:t>Sulla base di tale interpretazione, la portata di tali funzioni si espande si</w:t>
      </w:r>
      <w:r>
        <w:rPr>
          <w:sz w:val="28"/>
        </w:rPr>
        <w:t>no a ricomprendere  sia un “potere ispettivo” che un “potere di controllo” inevitabilmente connesse al fine di ottenere un corretto e positivo svolgimento delle funzioni stesse.</w:t>
      </w:r>
    </w:p>
    <w:p w:rsidR="00B548DC" w:rsidRDefault="00065AD4" w:rsidP="00B548DC">
      <w:pPr>
        <w:ind w:left="-426" w:right="-1276"/>
        <w:jc w:val="both"/>
        <w:rPr>
          <w:sz w:val="28"/>
        </w:rPr>
      </w:pPr>
      <w:r>
        <w:rPr>
          <w:sz w:val="28"/>
        </w:rPr>
        <w:t>Proprio l’espropriazione di queste peculiari e funzionali capacità è il cavall</w:t>
      </w:r>
      <w:r>
        <w:rPr>
          <w:sz w:val="28"/>
        </w:rPr>
        <w:t>o di battaglia dei detrattori di tali figure.</w:t>
      </w:r>
    </w:p>
    <w:p w:rsidR="00B548DC" w:rsidRDefault="00065AD4" w:rsidP="00B548DC">
      <w:pPr>
        <w:ind w:left="-426" w:right="-1276"/>
        <w:jc w:val="both"/>
        <w:rPr>
          <w:sz w:val="28"/>
        </w:rPr>
      </w:pPr>
      <w:r>
        <w:rPr>
          <w:sz w:val="28"/>
        </w:rPr>
        <w:t>Non raramente alcuni giudicanti hanno disatteso la profusione volontaria e dispendiosa dell’impegno delle medesime guardie azzerando i poteri di quest’ultimi sterilizzando i risultati da essi raggiunti sul camp</w:t>
      </w:r>
      <w:r>
        <w:rPr>
          <w:sz w:val="28"/>
        </w:rPr>
        <w:t>o nella prevenzione o contrasto di delitti.</w:t>
      </w:r>
    </w:p>
    <w:p w:rsidR="00B548DC" w:rsidRDefault="00065AD4" w:rsidP="00B548DC">
      <w:pPr>
        <w:ind w:left="-426" w:right="-1276"/>
        <w:jc w:val="both"/>
        <w:rPr>
          <w:sz w:val="28"/>
        </w:rPr>
      </w:pPr>
      <w:r>
        <w:rPr>
          <w:sz w:val="28"/>
        </w:rPr>
        <w:t xml:space="preserve">Occasioni come quella riconducibile alla pubblicazione della sentenza in analisi permettono di rifocalizzare la necessaria attenzione su volontari che per almeno 16 ore al mese pattugliano i nostri territori per </w:t>
      </w:r>
      <w:r>
        <w:rPr>
          <w:sz w:val="28"/>
        </w:rPr>
        <w:t>verificare che vengano rispettate le leggi in materia di protezione degli animali e per intervenire in casi di maltrattamento. Ma non solo.</w:t>
      </w:r>
    </w:p>
    <w:p w:rsidR="00B548DC" w:rsidRDefault="00065AD4" w:rsidP="00B548DC">
      <w:pPr>
        <w:ind w:left="-426" w:right="-1276"/>
        <w:jc w:val="both"/>
        <w:rPr>
          <w:sz w:val="28"/>
        </w:rPr>
      </w:pPr>
      <w:r>
        <w:rPr>
          <w:sz w:val="28"/>
        </w:rPr>
        <w:t xml:space="preserve">La portata dell’opera delle guardie è direttamente proporzionale alle aree di intervento di loro competenza: estesa </w:t>
      </w:r>
      <w:r>
        <w:rPr>
          <w:sz w:val="28"/>
        </w:rPr>
        <w:t>a tutte le leggi e regolamenti in materia di caccia, pesca, trasporti, maltrattamenti, importazione di animali esotici, macelli ed ogni altro settore nel quale siano implicati gli animali dove questi soggetti coadiuvano le forze dell’ordine nel medesimo la</w:t>
      </w:r>
      <w:r>
        <w:rPr>
          <w:sz w:val="28"/>
        </w:rPr>
        <w:t>voro per il quale, però, solo i secondi sono pagati.</w:t>
      </w:r>
    </w:p>
    <w:p w:rsidR="00B548DC" w:rsidRDefault="00065AD4" w:rsidP="00B548DC">
      <w:pPr>
        <w:ind w:left="-426" w:right="-1276"/>
        <w:jc w:val="both"/>
        <w:rPr>
          <w:sz w:val="28"/>
        </w:rPr>
      </w:pPr>
      <w:r>
        <w:rPr>
          <w:sz w:val="28"/>
        </w:rPr>
        <w:t>Non tutti sono a conoscenza che il contributo delle guardie non si limita a rilevare illeciti ma arriva a promuovere e diffondere l’informazione in materia ambientale avendo facoltà di accertare e sanzio</w:t>
      </w:r>
      <w:r>
        <w:rPr>
          <w:sz w:val="28"/>
        </w:rPr>
        <w:t>nare in via diretta anche gli illeciti amministrativi anche riguardo la tutela del territorio.</w:t>
      </w:r>
    </w:p>
    <w:p w:rsidR="00B548DC" w:rsidRDefault="00065AD4" w:rsidP="00B548DC">
      <w:pPr>
        <w:ind w:left="-426" w:right="-1276"/>
        <w:jc w:val="both"/>
        <w:rPr>
          <w:sz w:val="28"/>
        </w:rPr>
      </w:pPr>
      <w:r>
        <w:rPr>
          <w:sz w:val="28"/>
        </w:rPr>
        <w:t>Ora si comprende maggiormente la portata non  tanto della sentenza emessa ma quanto del provvedimento che ne è stato l’oggetto di annullamento.</w:t>
      </w:r>
    </w:p>
    <w:p w:rsidR="00B548DC" w:rsidRDefault="00065AD4" w:rsidP="00B548DC">
      <w:pPr>
        <w:ind w:left="-426" w:right="-1276"/>
        <w:jc w:val="both"/>
        <w:rPr>
          <w:sz w:val="28"/>
        </w:rPr>
      </w:pPr>
      <w:r>
        <w:rPr>
          <w:sz w:val="28"/>
        </w:rPr>
        <w:t>Con peregrine ric</w:t>
      </w:r>
      <w:r>
        <w:rPr>
          <w:sz w:val="28"/>
        </w:rPr>
        <w:t>ostruzioni giuridiche, infatti, con tale provvedimento di diniego si è di fatto impedito l’esercizio di un attività socialmente utile nonostante una previsione normativa blindante.</w:t>
      </w:r>
    </w:p>
    <w:p w:rsidR="00B548DC" w:rsidRDefault="00065AD4" w:rsidP="00B548DC">
      <w:pPr>
        <w:ind w:left="-426" w:right="-1276"/>
        <w:jc w:val="both"/>
        <w:rPr>
          <w:sz w:val="28"/>
        </w:rPr>
      </w:pPr>
      <w:r>
        <w:rPr>
          <w:sz w:val="28"/>
        </w:rPr>
        <w:t>Si badi che non si vuole incoronare la legittimità di un’attività sulla bas</w:t>
      </w:r>
      <w:r>
        <w:rPr>
          <w:sz w:val="28"/>
        </w:rPr>
        <w:t>e delle sua positiva rilevanza sociale, ma si vuole sottolineare la profondità di una ferita che  provoca ancora più dolenza laddove ricada su settori così sensibili.</w:t>
      </w:r>
    </w:p>
    <w:p w:rsidR="00B548DC" w:rsidRDefault="00065AD4" w:rsidP="00B548DC">
      <w:pPr>
        <w:ind w:left="-426" w:right="-1276"/>
        <w:jc w:val="both"/>
        <w:rPr>
          <w:sz w:val="28"/>
        </w:rPr>
      </w:pPr>
      <w:r>
        <w:rPr>
          <w:sz w:val="28"/>
        </w:rPr>
        <w:lastRenderedPageBreak/>
        <w:t>La stortura non è nuova nel nostro ordinamento nella misura in cui provvedimenti amminist</w:t>
      </w:r>
      <w:r>
        <w:rPr>
          <w:sz w:val="28"/>
        </w:rPr>
        <w:t>rativi  stravolgono sul piano pratico le norme astratte poste dalla legge.</w:t>
      </w:r>
    </w:p>
    <w:p w:rsidR="00B548DC" w:rsidRDefault="00065AD4" w:rsidP="00B548DC">
      <w:pPr>
        <w:ind w:left="-426" w:right="-1276"/>
        <w:jc w:val="both"/>
        <w:rPr>
          <w:sz w:val="28"/>
        </w:rPr>
      </w:pPr>
      <w:r>
        <w:rPr>
          <w:sz w:val="28"/>
        </w:rPr>
        <w:t>Nel caso specifico di interesse l’UTG non solo non ha ritenuto sufficienti le norme di cui agli artt. 55 e 57 del c.p.p. ma ha disatteso lo stesso tenore della specifica legge n. 18</w:t>
      </w:r>
      <w:r>
        <w:rPr>
          <w:sz w:val="28"/>
        </w:rPr>
        <w:t>9 del 2004.</w:t>
      </w:r>
    </w:p>
    <w:p w:rsidR="00B548DC" w:rsidRDefault="00065AD4" w:rsidP="00B548DC">
      <w:pPr>
        <w:ind w:left="-426" w:right="-1276"/>
        <w:jc w:val="both"/>
        <w:rPr>
          <w:sz w:val="28"/>
        </w:rPr>
      </w:pPr>
      <w:r>
        <w:rPr>
          <w:sz w:val="28"/>
        </w:rPr>
        <w:t>Alla luce di quanto si è verificato in Umbria non è difficile ricordare episodi simili anche in altri contesti territoriali.</w:t>
      </w:r>
    </w:p>
    <w:p w:rsidR="00B548DC" w:rsidRDefault="00065AD4" w:rsidP="00B548DC">
      <w:pPr>
        <w:ind w:left="-426" w:right="-1276"/>
        <w:jc w:val="both"/>
        <w:rPr>
          <w:sz w:val="28"/>
        </w:rPr>
      </w:pPr>
      <w:r>
        <w:rPr>
          <w:sz w:val="28"/>
        </w:rPr>
        <w:t>La frammentazione normativa (leggi regionali) e pratica (provvedimenti amministrativi) non facilitano la metabolizzazio</w:t>
      </w:r>
      <w:r>
        <w:rPr>
          <w:sz w:val="28"/>
        </w:rPr>
        <w:t>ne della fattispecie che dovrà saper trovare l’aumento del proprio peso specifico nel vigoroso temperamento dell’idealità che muove i suoi attori.</w:t>
      </w:r>
    </w:p>
    <w:p w:rsidR="00B548DC" w:rsidRDefault="00065AD4" w:rsidP="00B548DC">
      <w:pPr>
        <w:ind w:left="-426" w:right="-1276"/>
        <w:jc w:val="both"/>
        <w:rPr>
          <w:sz w:val="28"/>
        </w:rPr>
      </w:pPr>
      <w:r>
        <w:rPr>
          <w:sz w:val="28"/>
        </w:rPr>
        <w:t>Continuiamo su questa strada.</w:t>
      </w:r>
    </w:p>
    <w:p w:rsidR="00B548DC" w:rsidRDefault="00065AD4" w:rsidP="00B548DC">
      <w:pPr>
        <w:ind w:left="-426" w:right="-1276"/>
        <w:jc w:val="both"/>
        <w:rPr>
          <w:sz w:val="28"/>
        </w:rPr>
      </w:pPr>
    </w:p>
    <w:p w:rsidR="00B548DC" w:rsidRDefault="00065AD4" w:rsidP="00B548DC">
      <w:pPr>
        <w:ind w:left="-426" w:right="-1276"/>
        <w:jc w:val="both"/>
        <w:rPr>
          <w:sz w:val="28"/>
        </w:rPr>
      </w:pP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Daniele Carissimi</w:t>
      </w:r>
    </w:p>
    <w:p w:rsidR="00B548DC" w:rsidRDefault="00065AD4" w:rsidP="00B548DC">
      <w:pPr>
        <w:pStyle w:val="sentdef"/>
        <w:spacing w:line="240" w:lineRule="auto"/>
        <w:ind w:left="-426" w:right="-1276"/>
        <w:jc w:val="center"/>
        <w:rPr>
          <w:sz w:val="24"/>
          <w:szCs w:val="24"/>
        </w:rPr>
      </w:pPr>
    </w:p>
    <w:p w:rsidR="00B548DC" w:rsidRDefault="00065AD4" w:rsidP="00B548DC">
      <w:pPr>
        <w:pStyle w:val="sentdef"/>
        <w:spacing w:line="240" w:lineRule="auto"/>
        <w:ind w:left="-426" w:right="-1276"/>
        <w:jc w:val="center"/>
        <w:rPr>
          <w:sz w:val="24"/>
          <w:szCs w:val="24"/>
        </w:rPr>
      </w:pPr>
      <w:r>
        <w:rPr>
          <w:sz w:val="24"/>
          <w:szCs w:val="24"/>
        </w:rPr>
        <w:t>--------------------------------------------------</w:t>
      </w:r>
      <w:r>
        <w:rPr>
          <w:sz w:val="24"/>
          <w:szCs w:val="24"/>
        </w:rPr>
        <w:t>------------------------</w:t>
      </w:r>
    </w:p>
    <w:p w:rsidR="00B548DC" w:rsidRDefault="00065AD4" w:rsidP="00B548DC">
      <w:pPr>
        <w:pStyle w:val="sentdef"/>
        <w:spacing w:line="240" w:lineRule="auto"/>
        <w:ind w:left="-426" w:right="-1276"/>
        <w:jc w:val="center"/>
        <w:rPr>
          <w:sz w:val="24"/>
          <w:szCs w:val="24"/>
        </w:rPr>
      </w:pPr>
    </w:p>
    <w:p w:rsidR="00B548DC" w:rsidRDefault="00065AD4" w:rsidP="00B548DC">
      <w:pPr>
        <w:pStyle w:val="sentdef"/>
        <w:spacing w:line="240" w:lineRule="auto"/>
        <w:ind w:left="-426" w:right="-1276"/>
        <w:jc w:val="center"/>
        <w:rPr>
          <w:sz w:val="24"/>
          <w:szCs w:val="24"/>
        </w:rPr>
      </w:pPr>
    </w:p>
    <w:p w:rsidR="00B548DC" w:rsidRDefault="00065AD4" w:rsidP="00B548DC">
      <w:pPr>
        <w:pStyle w:val="sentdef"/>
        <w:spacing w:line="240" w:lineRule="auto"/>
        <w:ind w:left="-426" w:right="-1276"/>
        <w:jc w:val="center"/>
        <w:rPr>
          <w:sz w:val="24"/>
          <w:szCs w:val="24"/>
        </w:rPr>
      </w:pPr>
    </w:p>
    <w:p w:rsidR="00B548DC" w:rsidRDefault="00065AD4" w:rsidP="00B548DC">
      <w:pPr>
        <w:pStyle w:val="sentdef"/>
        <w:spacing w:line="240" w:lineRule="auto"/>
        <w:ind w:left="-426" w:right="-1276"/>
        <w:jc w:val="center"/>
        <w:rPr>
          <w:sz w:val="24"/>
          <w:szCs w:val="24"/>
        </w:rPr>
      </w:pPr>
      <w:r>
        <w:rPr>
          <w:noProof/>
          <w:sz w:val="20"/>
          <w:szCs w:val="24"/>
        </w:rPr>
        <w:pict>
          <v:shapetype id="_x0000_t202" coordsize="21600,21600" o:spt="202" path="m,l,21600r21600,l21600,xe">
            <v:stroke joinstyle="miter"/>
            <v:path gradientshapeok="t" o:connecttype="rect"/>
          </v:shapetype>
          <v:shape id="_x0000_s1026" type="#_x0000_t202" style="position:absolute;left:0;text-align:left;margin-left:367.65pt;margin-top:21.8pt;width:108pt;height:63pt;z-index:251657728" stroked="f">
            <v:textbox>
              <w:txbxContent>
                <w:p w:rsidR="00B548DC" w:rsidRPr="00B548DC" w:rsidRDefault="00065AD4" w:rsidP="00B548DC"/>
              </w:txbxContent>
            </v:textbox>
          </v:shape>
        </w:pict>
      </w:r>
      <w:r>
        <w:rPr>
          <w:sz w:val="24"/>
          <w:szCs w:val="24"/>
        </w:rPr>
        <w:t>REPUBBLICA ITALIANA</w:t>
      </w:r>
    </w:p>
    <w:p w:rsidR="00B548DC" w:rsidRDefault="00065AD4" w:rsidP="00B548DC">
      <w:pPr>
        <w:pStyle w:val="sentdef"/>
        <w:spacing w:line="240" w:lineRule="auto"/>
        <w:ind w:left="-426" w:right="-1276"/>
        <w:jc w:val="center"/>
        <w:rPr>
          <w:sz w:val="24"/>
          <w:szCs w:val="24"/>
        </w:rPr>
      </w:pPr>
      <w:r>
        <w:rPr>
          <w:sz w:val="24"/>
          <w:szCs w:val="24"/>
        </w:rPr>
        <w:t>IN NOME DEL POPOLO ITALIANO</w:t>
      </w:r>
    </w:p>
    <w:p w:rsidR="00B548DC" w:rsidRDefault="00065AD4" w:rsidP="00B548DC">
      <w:pPr>
        <w:pStyle w:val="sentdef"/>
        <w:spacing w:line="240" w:lineRule="auto"/>
        <w:ind w:left="-426" w:right="-1276"/>
        <w:jc w:val="center"/>
        <w:rPr>
          <w:sz w:val="24"/>
          <w:szCs w:val="24"/>
        </w:rPr>
      </w:pPr>
    </w:p>
    <w:p w:rsidR="00B548DC" w:rsidRDefault="00065AD4" w:rsidP="00B548DC">
      <w:pPr>
        <w:pStyle w:val="sentdef"/>
        <w:spacing w:line="240" w:lineRule="auto"/>
        <w:ind w:left="-426" w:right="-1276"/>
        <w:rPr>
          <w:sz w:val="24"/>
          <w:szCs w:val="24"/>
        </w:rPr>
      </w:pPr>
      <w:r>
        <w:rPr>
          <w:sz w:val="24"/>
          <w:szCs w:val="24"/>
        </w:rPr>
        <w:t xml:space="preserve">Il Tribunale Amministrativo dell'Umbria ha pronunciato la seguente </w:t>
      </w:r>
    </w:p>
    <w:p w:rsidR="00B548DC" w:rsidRDefault="00065AD4" w:rsidP="00B548DC">
      <w:pPr>
        <w:pStyle w:val="sentdef"/>
        <w:spacing w:line="240" w:lineRule="auto"/>
        <w:ind w:left="-426" w:right="-1276"/>
        <w:rPr>
          <w:sz w:val="24"/>
          <w:szCs w:val="24"/>
        </w:rPr>
      </w:pPr>
    </w:p>
    <w:p w:rsidR="00B548DC" w:rsidRDefault="00065AD4" w:rsidP="00B548DC">
      <w:pPr>
        <w:pStyle w:val="sentdef"/>
        <w:spacing w:line="240" w:lineRule="auto"/>
        <w:ind w:left="-426" w:right="-1276"/>
        <w:jc w:val="center"/>
        <w:rPr>
          <w:sz w:val="24"/>
          <w:szCs w:val="24"/>
        </w:rPr>
      </w:pPr>
      <w:r>
        <w:rPr>
          <w:sz w:val="24"/>
          <w:szCs w:val="24"/>
        </w:rPr>
        <w:t xml:space="preserve">S E N T E N Z A </w:t>
      </w:r>
    </w:p>
    <w:p w:rsidR="00B548DC" w:rsidRDefault="00065AD4" w:rsidP="00B548DC">
      <w:pPr>
        <w:pStyle w:val="sentdef"/>
        <w:spacing w:line="240" w:lineRule="auto"/>
        <w:ind w:left="-426" w:right="-1276"/>
        <w:jc w:val="center"/>
        <w:rPr>
          <w:sz w:val="24"/>
          <w:szCs w:val="24"/>
        </w:rPr>
      </w:pPr>
    </w:p>
    <w:p w:rsidR="00B548DC" w:rsidRDefault="00065AD4" w:rsidP="00B548DC">
      <w:pPr>
        <w:pStyle w:val="sentdef"/>
        <w:spacing w:line="240" w:lineRule="auto"/>
        <w:ind w:left="-426" w:right="-1276"/>
        <w:rPr>
          <w:sz w:val="24"/>
          <w:szCs w:val="24"/>
        </w:rPr>
      </w:pPr>
      <w:r>
        <w:rPr>
          <w:sz w:val="24"/>
          <w:szCs w:val="24"/>
        </w:rPr>
        <w:t xml:space="preserve">sul ricorso n. 535/2004 proposto da </w:t>
      </w:r>
      <w:r>
        <w:rPr>
          <w:sz w:val="24"/>
          <w:szCs w:val="24"/>
          <w:u w:val="single"/>
        </w:rPr>
        <w:t>POMA Antonella</w:t>
      </w:r>
      <w:r>
        <w:rPr>
          <w:sz w:val="24"/>
          <w:szCs w:val="24"/>
        </w:rPr>
        <w:t>., rappresentata e difesa dagli avv.ti Vi</w:t>
      </w:r>
      <w:r>
        <w:rPr>
          <w:sz w:val="24"/>
          <w:szCs w:val="24"/>
        </w:rPr>
        <w:t>ali Valentino e Minciarelli Massimo, elettivamente domiciliati in Perugia, via Baglioni, 3 presso la Segreteria del T.A.R. Umbria;</w:t>
      </w:r>
    </w:p>
    <w:p w:rsidR="00B548DC" w:rsidRDefault="00065AD4" w:rsidP="00B548DC">
      <w:pPr>
        <w:pStyle w:val="sentdef"/>
        <w:spacing w:line="240" w:lineRule="auto"/>
        <w:ind w:left="-426" w:right="-1276"/>
        <w:jc w:val="center"/>
        <w:rPr>
          <w:sz w:val="24"/>
          <w:szCs w:val="24"/>
        </w:rPr>
      </w:pPr>
      <w:r>
        <w:rPr>
          <w:sz w:val="24"/>
          <w:szCs w:val="24"/>
        </w:rPr>
        <w:t>C O N T R O</w:t>
      </w:r>
    </w:p>
    <w:p w:rsidR="00B548DC" w:rsidRDefault="00065AD4" w:rsidP="00B548DC">
      <w:pPr>
        <w:pStyle w:val="sentdef"/>
        <w:spacing w:line="240" w:lineRule="auto"/>
        <w:ind w:left="-426" w:right="-1276"/>
        <w:rPr>
          <w:sz w:val="24"/>
          <w:szCs w:val="24"/>
        </w:rPr>
      </w:pPr>
      <w:r>
        <w:rPr>
          <w:sz w:val="24"/>
          <w:szCs w:val="24"/>
          <w:u w:val="single"/>
        </w:rPr>
        <w:t>L’Ufficio Territoriale del Governo di Terni,</w:t>
      </w:r>
      <w:r>
        <w:rPr>
          <w:sz w:val="24"/>
          <w:szCs w:val="24"/>
        </w:rPr>
        <w:t xml:space="preserve"> in persona del Prefetto pro tempore;</w:t>
      </w:r>
    </w:p>
    <w:p w:rsidR="00B548DC" w:rsidRDefault="00065AD4" w:rsidP="00B548DC">
      <w:pPr>
        <w:pStyle w:val="sentdef"/>
        <w:spacing w:line="240" w:lineRule="auto"/>
        <w:ind w:left="-426" w:right="-1276"/>
        <w:rPr>
          <w:sz w:val="24"/>
          <w:szCs w:val="24"/>
        </w:rPr>
      </w:pPr>
      <w:r>
        <w:rPr>
          <w:sz w:val="24"/>
          <w:szCs w:val="24"/>
          <w:u w:val="single"/>
        </w:rPr>
        <w:t>Il Ministero dell’Interno</w:t>
      </w:r>
      <w:r>
        <w:rPr>
          <w:sz w:val="24"/>
          <w:szCs w:val="24"/>
        </w:rPr>
        <w:t>, in p</w:t>
      </w:r>
      <w:r>
        <w:rPr>
          <w:sz w:val="24"/>
          <w:szCs w:val="24"/>
        </w:rPr>
        <w:t>ersona del Ministro pro tempore, entrambi rappresentati e difesi dall’Avvocatura Distrettuale dello Stato di Perugia, con domicilio in Perugia, via degli Offici n. 14;</w:t>
      </w:r>
    </w:p>
    <w:p w:rsidR="00B548DC" w:rsidRDefault="00065AD4" w:rsidP="00B548DC">
      <w:pPr>
        <w:pStyle w:val="sentdef"/>
        <w:spacing w:line="240" w:lineRule="auto"/>
        <w:ind w:left="-426" w:right="-1276"/>
        <w:jc w:val="center"/>
        <w:rPr>
          <w:sz w:val="24"/>
          <w:szCs w:val="24"/>
        </w:rPr>
      </w:pPr>
      <w:r>
        <w:rPr>
          <w:sz w:val="24"/>
          <w:szCs w:val="24"/>
        </w:rPr>
        <w:t>per l'annullamento</w:t>
      </w:r>
    </w:p>
    <w:p w:rsidR="00B548DC" w:rsidRDefault="00065AD4" w:rsidP="00B548DC">
      <w:pPr>
        <w:pStyle w:val="sentdef"/>
        <w:spacing w:line="240" w:lineRule="auto"/>
        <w:ind w:left="-426" w:right="-1276"/>
        <w:jc w:val="center"/>
        <w:rPr>
          <w:sz w:val="24"/>
          <w:szCs w:val="24"/>
        </w:rPr>
      </w:pPr>
    </w:p>
    <w:p w:rsidR="00B548DC" w:rsidRDefault="00065AD4" w:rsidP="00B548DC">
      <w:pPr>
        <w:pStyle w:val="sentdef"/>
        <w:spacing w:line="240" w:lineRule="auto"/>
        <w:ind w:left="-426" w:right="-1276"/>
        <w:rPr>
          <w:sz w:val="24"/>
          <w:szCs w:val="24"/>
        </w:rPr>
      </w:pPr>
      <w:r>
        <w:rPr>
          <w:sz w:val="24"/>
          <w:szCs w:val="24"/>
        </w:rPr>
        <w:t>del provvedimento del Prefetto di Terni del 5.7.2004, prot. n. 14110</w:t>
      </w:r>
      <w:r>
        <w:rPr>
          <w:sz w:val="24"/>
          <w:szCs w:val="24"/>
        </w:rPr>
        <w:t>/04, relativo al diniego di rinnovo del decreto di approvazione a guardia particolare giurata per la vigilanza zoofila, rilasciato alla stessa ricorrente con determinazione del 6.8.03, per la durata di un anno.</w:t>
      </w:r>
    </w:p>
    <w:p w:rsidR="00B548DC" w:rsidRDefault="00065AD4" w:rsidP="00B548DC">
      <w:pPr>
        <w:pStyle w:val="sentdef"/>
        <w:spacing w:line="240" w:lineRule="auto"/>
        <w:ind w:left="-426" w:right="-1276"/>
        <w:rPr>
          <w:sz w:val="24"/>
          <w:szCs w:val="24"/>
        </w:rPr>
      </w:pPr>
    </w:p>
    <w:p w:rsidR="00B548DC" w:rsidRDefault="00065AD4" w:rsidP="00B548DC">
      <w:pPr>
        <w:pStyle w:val="sentdef"/>
        <w:spacing w:line="240" w:lineRule="auto"/>
        <w:ind w:left="-426" w:right="-1276"/>
        <w:rPr>
          <w:sz w:val="24"/>
          <w:szCs w:val="24"/>
        </w:rPr>
      </w:pPr>
    </w:p>
    <w:p w:rsidR="00B548DC" w:rsidRDefault="00065AD4" w:rsidP="00B548DC">
      <w:pPr>
        <w:pStyle w:val="sentdef"/>
        <w:spacing w:line="240" w:lineRule="auto"/>
        <w:ind w:left="-426" w:right="-1276"/>
        <w:rPr>
          <w:sz w:val="24"/>
          <w:szCs w:val="24"/>
        </w:rPr>
      </w:pPr>
    </w:p>
    <w:p w:rsidR="00B548DC" w:rsidRDefault="00065AD4" w:rsidP="00B548DC">
      <w:pPr>
        <w:pStyle w:val="sentdef"/>
        <w:spacing w:line="240" w:lineRule="auto"/>
        <w:ind w:left="-426" w:right="-1276"/>
        <w:rPr>
          <w:sz w:val="24"/>
          <w:szCs w:val="24"/>
        </w:rPr>
      </w:pPr>
    </w:p>
    <w:p w:rsidR="00B548DC" w:rsidRDefault="00065AD4" w:rsidP="00B548DC">
      <w:pPr>
        <w:pStyle w:val="sentdef"/>
        <w:spacing w:line="240" w:lineRule="auto"/>
        <w:ind w:left="-426" w:right="-1276" w:firstLine="284"/>
        <w:rPr>
          <w:sz w:val="24"/>
          <w:szCs w:val="24"/>
        </w:rPr>
      </w:pPr>
      <w:r>
        <w:rPr>
          <w:sz w:val="24"/>
          <w:szCs w:val="24"/>
        </w:rPr>
        <w:t>Visto il ricorso con i relativi allegati;</w:t>
      </w:r>
    </w:p>
    <w:p w:rsidR="00B548DC" w:rsidRDefault="00065AD4" w:rsidP="00B548DC">
      <w:pPr>
        <w:pStyle w:val="sentdef"/>
        <w:spacing w:line="240" w:lineRule="auto"/>
        <w:ind w:left="-426" w:right="-1276" w:firstLine="284"/>
        <w:rPr>
          <w:sz w:val="24"/>
          <w:szCs w:val="24"/>
        </w:rPr>
      </w:pPr>
      <w:r>
        <w:rPr>
          <w:sz w:val="24"/>
          <w:szCs w:val="24"/>
        </w:rPr>
        <w:t>Visto l'atto di costituzione in giudizio delle Amministrazioni intimate;</w:t>
      </w:r>
    </w:p>
    <w:p w:rsidR="00B548DC" w:rsidRDefault="00065AD4" w:rsidP="00B548DC">
      <w:pPr>
        <w:pStyle w:val="sentdef"/>
        <w:spacing w:line="240" w:lineRule="auto"/>
        <w:ind w:left="-426" w:right="-1276" w:firstLine="284"/>
        <w:rPr>
          <w:sz w:val="24"/>
          <w:szCs w:val="24"/>
        </w:rPr>
      </w:pPr>
      <w:r>
        <w:rPr>
          <w:sz w:val="24"/>
          <w:szCs w:val="24"/>
        </w:rPr>
        <w:t>Viste le memorie prodotte dalle parti a sostegno delle rispettive difese;</w:t>
      </w:r>
    </w:p>
    <w:p w:rsidR="00B548DC" w:rsidRDefault="00065AD4" w:rsidP="00B548DC">
      <w:pPr>
        <w:pStyle w:val="sentdef"/>
        <w:spacing w:line="240" w:lineRule="auto"/>
        <w:ind w:left="-426" w:right="-1276" w:firstLine="284"/>
        <w:rPr>
          <w:sz w:val="24"/>
          <w:szCs w:val="24"/>
        </w:rPr>
      </w:pPr>
      <w:r>
        <w:rPr>
          <w:sz w:val="24"/>
          <w:szCs w:val="24"/>
        </w:rPr>
        <w:t>Visti gli atti tutti della causa;</w:t>
      </w:r>
    </w:p>
    <w:p w:rsidR="00B548DC" w:rsidRDefault="00065AD4" w:rsidP="00B548DC">
      <w:pPr>
        <w:pStyle w:val="sentdef"/>
        <w:spacing w:line="240" w:lineRule="auto"/>
        <w:ind w:left="-426" w:right="-1276" w:firstLine="284"/>
        <w:rPr>
          <w:sz w:val="24"/>
          <w:szCs w:val="24"/>
        </w:rPr>
      </w:pPr>
    </w:p>
    <w:p w:rsidR="00B548DC" w:rsidRDefault="00065AD4" w:rsidP="00B548DC">
      <w:pPr>
        <w:pStyle w:val="sentdef"/>
        <w:spacing w:line="240" w:lineRule="auto"/>
        <w:ind w:left="-426" w:right="-1276" w:firstLine="284"/>
        <w:rPr>
          <w:sz w:val="24"/>
          <w:szCs w:val="24"/>
        </w:rPr>
      </w:pPr>
      <w:r>
        <w:rPr>
          <w:sz w:val="24"/>
          <w:szCs w:val="24"/>
        </w:rPr>
        <w:t xml:space="preserve">Data per letta, alla pubblica udienza del 9 marzo 2005, la relazione del </w:t>
      </w:r>
      <w:r>
        <w:rPr>
          <w:sz w:val="24"/>
          <w:szCs w:val="24"/>
        </w:rPr>
        <w:t>cons. Annibale Ferrari e udite le parti come da verbale.</w:t>
      </w:r>
    </w:p>
    <w:p w:rsidR="00B548DC" w:rsidRDefault="00065AD4" w:rsidP="00B548DC">
      <w:pPr>
        <w:pStyle w:val="sentdef"/>
        <w:spacing w:line="240" w:lineRule="auto"/>
        <w:ind w:left="-426" w:right="-1276" w:firstLine="284"/>
        <w:rPr>
          <w:sz w:val="24"/>
          <w:szCs w:val="24"/>
        </w:rPr>
      </w:pPr>
    </w:p>
    <w:p w:rsidR="00B548DC" w:rsidRDefault="00065AD4" w:rsidP="00B548DC">
      <w:pPr>
        <w:pStyle w:val="sentdef"/>
        <w:spacing w:line="240" w:lineRule="auto"/>
        <w:ind w:left="-426" w:right="-1276" w:firstLine="284"/>
        <w:rPr>
          <w:sz w:val="24"/>
          <w:szCs w:val="24"/>
        </w:rPr>
      </w:pPr>
      <w:r>
        <w:rPr>
          <w:sz w:val="24"/>
          <w:szCs w:val="24"/>
        </w:rPr>
        <w:t>Ritenuto e considerato in fatto ed in diritto:</w:t>
      </w:r>
    </w:p>
    <w:p w:rsidR="00B548DC" w:rsidRDefault="00065AD4" w:rsidP="00B548DC">
      <w:pPr>
        <w:pStyle w:val="sentdef"/>
        <w:spacing w:line="240" w:lineRule="auto"/>
        <w:ind w:left="-426" w:right="-1276" w:firstLine="284"/>
        <w:rPr>
          <w:sz w:val="24"/>
          <w:szCs w:val="24"/>
        </w:rPr>
      </w:pPr>
    </w:p>
    <w:p w:rsidR="00B548DC" w:rsidRDefault="00065AD4" w:rsidP="00B548DC">
      <w:pPr>
        <w:pStyle w:val="sentdef"/>
        <w:spacing w:line="240" w:lineRule="auto"/>
        <w:ind w:left="-426" w:right="-1276" w:firstLine="284"/>
        <w:jc w:val="center"/>
        <w:rPr>
          <w:sz w:val="24"/>
          <w:szCs w:val="24"/>
        </w:rPr>
      </w:pPr>
      <w:r>
        <w:rPr>
          <w:sz w:val="24"/>
          <w:szCs w:val="24"/>
        </w:rPr>
        <w:t>FATTO  E  D I R I T T O</w:t>
      </w:r>
    </w:p>
    <w:p w:rsidR="00B548DC" w:rsidRDefault="00065AD4" w:rsidP="00B548DC">
      <w:pPr>
        <w:pStyle w:val="sentdef"/>
        <w:spacing w:line="240" w:lineRule="auto"/>
        <w:ind w:left="-426" w:right="-1276" w:firstLine="284"/>
        <w:jc w:val="center"/>
        <w:rPr>
          <w:sz w:val="24"/>
          <w:szCs w:val="24"/>
        </w:rPr>
      </w:pPr>
    </w:p>
    <w:p w:rsidR="00B548DC" w:rsidRDefault="00065AD4" w:rsidP="00B548DC">
      <w:pPr>
        <w:pStyle w:val="sentdef"/>
        <w:numPr>
          <w:ilvl w:val="0"/>
          <w:numId w:val="4"/>
        </w:numPr>
        <w:tabs>
          <w:tab w:val="clear" w:pos="720"/>
          <w:tab w:val="num" w:pos="142"/>
        </w:tabs>
        <w:spacing w:line="240" w:lineRule="auto"/>
        <w:ind w:left="-426" w:right="-1276" w:firstLine="142"/>
        <w:rPr>
          <w:sz w:val="24"/>
          <w:szCs w:val="24"/>
        </w:rPr>
      </w:pPr>
      <w:r>
        <w:rPr>
          <w:sz w:val="24"/>
          <w:szCs w:val="24"/>
        </w:rPr>
        <w:t>L’impugnato provvedimento di diniego di rinnovo della nomina anuale a guardia giurata zoofila per conto del WWF (World. Wide.</w:t>
      </w:r>
      <w:r>
        <w:rPr>
          <w:sz w:val="24"/>
          <w:szCs w:val="24"/>
        </w:rPr>
        <w:t xml:space="preserve"> </w:t>
      </w:r>
      <w:r>
        <w:rPr>
          <w:sz w:val="24"/>
          <w:szCs w:val="24"/>
          <w:lang w:val="en-US"/>
        </w:rPr>
        <w:t xml:space="preserve">Fund for nature. </w:t>
      </w:r>
      <w:r>
        <w:rPr>
          <w:sz w:val="24"/>
          <w:szCs w:val="24"/>
        </w:rPr>
        <w:t>Onlus. Sezione di Terni) è stato adottato con la specifica motivazione che “al momento non risulta ancora emanata la normativa regionale che istituisce la figura della guardia zoofila”.</w:t>
      </w:r>
    </w:p>
    <w:p w:rsidR="00B548DC" w:rsidRDefault="00065AD4" w:rsidP="00B548DC">
      <w:pPr>
        <w:pStyle w:val="sentdef"/>
        <w:spacing w:line="240" w:lineRule="auto"/>
        <w:ind w:left="-426" w:right="-1276" w:firstLine="142"/>
        <w:rPr>
          <w:sz w:val="24"/>
          <w:szCs w:val="24"/>
        </w:rPr>
      </w:pPr>
      <w:r>
        <w:rPr>
          <w:sz w:val="24"/>
          <w:szCs w:val="24"/>
        </w:rPr>
        <w:t>La ricorrente denuncia l’illegittimità di detta moti</w:t>
      </w:r>
      <w:r>
        <w:rPr>
          <w:sz w:val="24"/>
          <w:szCs w:val="24"/>
        </w:rPr>
        <w:t>vazione assumendo: A) che la stessa Prefettura di Terni, in data 6.8.2003, l’aveva già autorizzata ad espletare detta attività in base alla normativa nazionale di cui agli artt. 133 e 138 del T.U. delle leggi di pubblica sicurezza; B) che di recente, con l</w:t>
      </w:r>
      <w:r>
        <w:rPr>
          <w:sz w:val="24"/>
          <w:szCs w:val="24"/>
        </w:rPr>
        <w:t>. n. 189 del 2004, è stata espressamente prevista (art. 6, 2° co.) la figura della guardia giurata operante per conto delle associazioni protezionistiche e zoofile riconosciute; ciò al fine di assicurare il rispetto delle norme relative alla protezione deg</w:t>
      </w:r>
      <w:r>
        <w:rPr>
          <w:sz w:val="24"/>
          <w:szCs w:val="24"/>
        </w:rPr>
        <w:t>li animali.</w:t>
      </w:r>
    </w:p>
    <w:p w:rsidR="00B548DC" w:rsidRDefault="00065AD4" w:rsidP="00B548DC">
      <w:pPr>
        <w:pStyle w:val="sentdef"/>
        <w:spacing w:line="240" w:lineRule="auto"/>
        <w:ind w:left="-426" w:right="-1276" w:firstLine="142"/>
        <w:rPr>
          <w:sz w:val="24"/>
          <w:szCs w:val="24"/>
        </w:rPr>
      </w:pPr>
      <w:r>
        <w:rPr>
          <w:sz w:val="24"/>
          <w:szCs w:val="24"/>
        </w:rPr>
        <w:t>Avverso tali censure l’Amministrazione intimata si è costituita e resiste.</w:t>
      </w:r>
    </w:p>
    <w:p w:rsidR="00B548DC" w:rsidRDefault="00065AD4" w:rsidP="00B548DC">
      <w:pPr>
        <w:pStyle w:val="sentdef"/>
        <w:spacing w:line="240" w:lineRule="auto"/>
        <w:ind w:left="-426" w:right="-1276" w:firstLine="142"/>
        <w:rPr>
          <w:sz w:val="24"/>
          <w:szCs w:val="24"/>
        </w:rPr>
      </w:pPr>
    </w:p>
    <w:p w:rsidR="00B548DC" w:rsidRDefault="00065AD4" w:rsidP="00B548DC">
      <w:pPr>
        <w:pStyle w:val="sentdef"/>
        <w:spacing w:line="240" w:lineRule="auto"/>
        <w:ind w:left="-426" w:right="-1276" w:firstLine="142"/>
        <w:rPr>
          <w:sz w:val="24"/>
          <w:szCs w:val="24"/>
        </w:rPr>
      </w:pPr>
      <w:r>
        <w:rPr>
          <w:sz w:val="24"/>
          <w:szCs w:val="24"/>
        </w:rPr>
        <w:t>2. Trattenuta la causa in decisione all’udienza del 9.3.2005, il Collegio subito rileva che il ricorso merita di essere accolto, al fine di consentire il riesame dell’i</w:t>
      </w:r>
      <w:r>
        <w:rPr>
          <w:sz w:val="24"/>
          <w:szCs w:val="24"/>
        </w:rPr>
        <w:t>stanza presentata in data 18.6.2004 dal WWF – Ufficio coordinamento provinciale delle guardie giurate – Sezione di Terni a nome e per conto della ricorrente, sulla base della disciplina legislativa nazionale vigente in materia.</w:t>
      </w:r>
    </w:p>
    <w:p w:rsidR="00B548DC" w:rsidRDefault="00065AD4" w:rsidP="00B548DC">
      <w:pPr>
        <w:pStyle w:val="sentdef"/>
        <w:spacing w:line="240" w:lineRule="auto"/>
        <w:ind w:left="-426" w:right="-1276" w:firstLine="142"/>
        <w:rPr>
          <w:sz w:val="24"/>
          <w:szCs w:val="24"/>
        </w:rPr>
      </w:pPr>
      <w:r>
        <w:rPr>
          <w:sz w:val="24"/>
          <w:szCs w:val="24"/>
        </w:rPr>
        <w:t xml:space="preserve">Invero, poiché i precedenti </w:t>
      </w:r>
      <w:r>
        <w:rPr>
          <w:sz w:val="24"/>
          <w:szCs w:val="24"/>
        </w:rPr>
        <w:t>decreti di nomina della ricorrente sono stati finora adottati proprio in base a detta disciplina nazionale (e precisamente in base al T.U. di P.S. del 1931 n. 773), non sembra affatto giuridicamente corretto e lineare che il diniego attuale possa essere gi</w:t>
      </w:r>
      <w:r>
        <w:rPr>
          <w:sz w:val="24"/>
          <w:szCs w:val="24"/>
        </w:rPr>
        <w:t>ustificato sulla base della mancanza di una normativa regionale, al momento inesistente.</w:t>
      </w:r>
    </w:p>
    <w:p w:rsidR="00B548DC" w:rsidRDefault="00065AD4" w:rsidP="00B548DC">
      <w:pPr>
        <w:pStyle w:val="sentdef"/>
        <w:spacing w:line="240" w:lineRule="auto"/>
        <w:ind w:left="-426" w:right="-1276" w:firstLine="142"/>
        <w:rPr>
          <w:sz w:val="24"/>
          <w:szCs w:val="24"/>
        </w:rPr>
      </w:pPr>
      <w:r>
        <w:rPr>
          <w:sz w:val="24"/>
          <w:szCs w:val="24"/>
        </w:rPr>
        <w:t>Il riesame del provvedimento impugnato dovrà essere effettuato anche alla luce della sopravvenuta L. n. 189 del 20 luglio 2004 (pur invocata dalla difesa della ricorre</w:t>
      </w:r>
      <w:r>
        <w:rPr>
          <w:sz w:val="24"/>
          <w:szCs w:val="24"/>
        </w:rPr>
        <w:t xml:space="preserve">nte); ciò, al fine di verificare l’attuale possibilità ed anche l’attuale opportunità di rilasciare un’autorizzazione di polizia come quella di specie (che comporta l’acquisizione di una qualifica di rilevanza anche penale ex artt. 55 e 57 c.p.p.), tenuto </w:t>
      </w:r>
      <w:r>
        <w:rPr>
          <w:sz w:val="24"/>
          <w:szCs w:val="24"/>
        </w:rPr>
        <w:t>conto (fra l’altro) non solo e non tanto dei compiti di vigilanza riferiti agli “animali di affezione” ma anche dei più generali compiti di vigilanza che detta legge prevede per assicurare il divieto di maltrattamento degli animali.</w:t>
      </w:r>
    </w:p>
    <w:p w:rsidR="00B548DC" w:rsidRDefault="00065AD4" w:rsidP="00B548DC">
      <w:pPr>
        <w:pStyle w:val="sentdef"/>
        <w:spacing w:line="240" w:lineRule="auto"/>
        <w:ind w:left="-426" w:right="-1276" w:firstLine="142"/>
        <w:rPr>
          <w:sz w:val="24"/>
          <w:szCs w:val="24"/>
        </w:rPr>
      </w:pPr>
    </w:p>
    <w:p w:rsidR="00B548DC" w:rsidRDefault="00065AD4" w:rsidP="00B548DC">
      <w:pPr>
        <w:pStyle w:val="sentdef"/>
        <w:spacing w:line="240" w:lineRule="auto"/>
        <w:ind w:left="-426" w:right="-1276" w:firstLine="142"/>
        <w:rPr>
          <w:sz w:val="24"/>
          <w:szCs w:val="24"/>
        </w:rPr>
      </w:pPr>
    </w:p>
    <w:p w:rsidR="00B548DC" w:rsidRDefault="00065AD4" w:rsidP="00B548DC">
      <w:pPr>
        <w:pStyle w:val="sentdef"/>
        <w:spacing w:line="240" w:lineRule="auto"/>
        <w:ind w:left="-426" w:right="-1276" w:firstLine="142"/>
        <w:rPr>
          <w:sz w:val="24"/>
          <w:szCs w:val="24"/>
        </w:rPr>
      </w:pPr>
    </w:p>
    <w:p w:rsidR="00B548DC" w:rsidRDefault="00065AD4" w:rsidP="00B548DC">
      <w:pPr>
        <w:pStyle w:val="sentdef"/>
        <w:spacing w:line="240" w:lineRule="auto"/>
        <w:ind w:left="-426" w:right="-1276"/>
        <w:rPr>
          <w:sz w:val="24"/>
          <w:szCs w:val="24"/>
        </w:rPr>
      </w:pPr>
      <w:r>
        <w:rPr>
          <w:sz w:val="24"/>
          <w:szCs w:val="24"/>
        </w:rPr>
        <w:t>3. Quanto alle spese</w:t>
      </w:r>
      <w:r>
        <w:rPr>
          <w:sz w:val="24"/>
          <w:szCs w:val="24"/>
        </w:rPr>
        <w:t xml:space="preserve"> di lite, queste possono essere integralmente compensate tra le parti in presenza di giusti motivi.</w:t>
      </w:r>
    </w:p>
    <w:p w:rsidR="00B548DC" w:rsidRDefault="00065AD4" w:rsidP="00B548DC">
      <w:pPr>
        <w:pStyle w:val="sentdef"/>
        <w:spacing w:line="240" w:lineRule="auto"/>
        <w:ind w:left="-426" w:right="-1276" w:firstLine="284"/>
        <w:jc w:val="center"/>
        <w:rPr>
          <w:sz w:val="24"/>
          <w:szCs w:val="24"/>
          <w:lang w:val="en-US"/>
        </w:rPr>
      </w:pPr>
      <w:r>
        <w:rPr>
          <w:sz w:val="24"/>
          <w:szCs w:val="24"/>
          <w:lang w:val="en-US"/>
        </w:rPr>
        <w:t>P.Q.M.</w:t>
      </w:r>
    </w:p>
    <w:p w:rsidR="00B548DC" w:rsidRDefault="00065AD4" w:rsidP="00B548DC">
      <w:pPr>
        <w:pStyle w:val="sentdef"/>
        <w:spacing w:line="240" w:lineRule="auto"/>
        <w:ind w:left="-426" w:right="-1276" w:firstLine="284"/>
        <w:jc w:val="center"/>
        <w:rPr>
          <w:sz w:val="24"/>
          <w:szCs w:val="24"/>
          <w:lang w:val="en-US"/>
        </w:rPr>
      </w:pPr>
    </w:p>
    <w:p w:rsidR="00B548DC" w:rsidRDefault="00065AD4" w:rsidP="00B548DC">
      <w:pPr>
        <w:pStyle w:val="sentdef"/>
        <w:spacing w:line="240" w:lineRule="auto"/>
        <w:ind w:left="-426" w:right="-1276" w:firstLine="284"/>
        <w:rPr>
          <w:sz w:val="24"/>
          <w:szCs w:val="24"/>
        </w:rPr>
      </w:pPr>
      <w:r>
        <w:rPr>
          <w:sz w:val="24"/>
          <w:szCs w:val="24"/>
        </w:rPr>
        <w:t>Il Tribunale Amministrativo dell'Umbria, definitivamente pronunciando, accoglie il ricorso in epigrafe e, per l'effetto, annulla il provvedimento im</w:t>
      </w:r>
      <w:r>
        <w:rPr>
          <w:sz w:val="24"/>
          <w:szCs w:val="24"/>
        </w:rPr>
        <w:t>pugnato ai sensi e nei limiti di cui in motivazione, con compensazione integrale delle spese di lite tra le parti.</w:t>
      </w:r>
    </w:p>
    <w:p w:rsidR="00B548DC" w:rsidRDefault="00065AD4" w:rsidP="00B548DC">
      <w:pPr>
        <w:pStyle w:val="sentdef"/>
        <w:spacing w:line="240" w:lineRule="auto"/>
        <w:ind w:left="-426" w:right="-1276" w:firstLine="284"/>
        <w:rPr>
          <w:sz w:val="24"/>
          <w:szCs w:val="24"/>
        </w:rPr>
      </w:pPr>
      <w:r>
        <w:rPr>
          <w:sz w:val="24"/>
          <w:szCs w:val="24"/>
        </w:rPr>
        <w:t>Così deciso in Perugia, nella Camera di Consiglio del 9 marzo 2005 con l'intervento dei signori:</w:t>
      </w:r>
    </w:p>
    <w:p w:rsidR="00B548DC" w:rsidRDefault="00065AD4" w:rsidP="00B548DC">
      <w:pPr>
        <w:pStyle w:val="sentdef"/>
        <w:spacing w:line="240" w:lineRule="auto"/>
        <w:ind w:left="-426" w:right="-1276"/>
        <w:rPr>
          <w:sz w:val="24"/>
          <w:szCs w:val="24"/>
        </w:rPr>
      </w:pPr>
      <w:r>
        <w:rPr>
          <w:sz w:val="24"/>
          <w:szCs w:val="24"/>
        </w:rPr>
        <w:t>Avv.</w:t>
      </w:r>
      <w:r>
        <w:rPr>
          <w:sz w:val="24"/>
          <w:szCs w:val="24"/>
        </w:rPr>
        <w:tab/>
        <w:t>Pier Giorgio</w:t>
      </w:r>
      <w:r>
        <w:rPr>
          <w:sz w:val="24"/>
          <w:szCs w:val="24"/>
        </w:rPr>
        <w:tab/>
        <w:t>Lignani</w:t>
      </w:r>
      <w:r>
        <w:rPr>
          <w:sz w:val="24"/>
          <w:szCs w:val="24"/>
        </w:rPr>
        <w:tab/>
      </w:r>
      <w:r>
        <w:rPr>
          <w:sz w:val="24"/>
          <w:szCs w:val="24"/>
        </w:rPr>
        <w:tab/>
        <w:t>Presidente</w:t>
      </w:r>
    </w:p>
    <w:p w:rsidR="00B548DC" w:rsidRDefault="00065AD4" w:rsidP="00B548DC">
      <w:pPr>
        <w:pStyle w:val="sentdef"/>
        <w:spacing w:line="240" w:lineRule="auto"/>
        <w:ind w:left="-426" w:right="-1276"/>
        <w:rPr>
          <w:sz w:val="24"/>
          <w:szCs w:val="24"/>
        </w:rPr>
      </w:pPr>
      <w:r>
        <w:rPr>
          <w:sz w:val="24"/>
          <w:szCs w:val="24"/>
        </w:rPr>
        <w:t>Avv.</w:t>
      </w:r>
      <w:r>
        <w:rPr>
          <w:sz w:val="24"/>
          <w:szCs w:val="24"/>
        </w:rPr>
        <w:tab/>
        <w:t>A</w:t>
      </w:r>
      <w:r>
        <w:rPr>
          <w:sz w:val="24"/>
          <w:szCs w:val="24"/>
        </w:rPr>
        <w:t>nnibale</w:t>
      </w:r>
      <w:r>
        <w:rPr>
          <w:sz w:val="24"/>
          <w:szCs w:val="24"/>
        </w:rPr>
        <w:tab/>
        <w:t>Ferrari</w:t>
      </w:r>
      <w:r>
        <w:rPr>
          <w:sz w:val="24"/>
          <w:szCs w:val="24"/>
        </w:rPr>
        <w:tab/>
      </w:r>
      <w:r>
        <w:rPr>
          <w:sz w:val="24"/>
          <w:szCs w:val="24"/>
        </w:rPr>
        <w:tab/>
      </w:r>
      <w:r>
        <w:rPr>
          <w:sz w:val="24"/>
          <w:szCs w:val="24"/>
        </w:rPr>
        <w:tab/>
        <w:t>Consigliere, estensore</w:t>
      </w:r>
    </w:p>
    <w:p w:rsidR="00B548DC" w:rsidRDefault="00065AD4" w:rsidP="00B548DC">
      <w:pPr>
        <w:pStyle w:val="sentdef"/>
        <w:spacing w:line="240" w:lineRule="auto"/>
        <w:ind w:left="-426" w:right="-1276"/>
        <w:rPr>
          <w:sz w:val="24"/>
          <w:szCs w:val="24"/>
        </w:rPr>
      </w:pPr>
      <w:r>
        <w:rPr>
          <w:sz w:val="24"/>
          <w:szCs w:val="24"/>
        </w:rPr>
        <w:t>Dott.</w:t>
      </w:r>
      <w:r>
        <w:rPr>
          <w:sz w:val="24"/>
          <w:szCs w:val="24"/>
        </w:rPr>
        <w:tab/>
        <w:t>Carlo Luigi</w:t>
      </w:r>
      <w:r>
        <w:rPr>
          <w:sz w:val="24"/>
          <w:szCs w:val="24"/>
        </w:rPr>
        <w:tab/>
        <w:t>Cardoni</w:t>
      </w:r>
      <w:r>
        <w:rPr>
          <w:sz w:val="24"/>
          <w:szCs w:val="24"/>
        </w:rPr>
        <w:tab/>
      </w:r>
      <w:r>
        <w:rPr>
          <w:sz w:val="24"/>
          <w:szCs w:val="24"/>
        </w:rPr>
        <w:tab/>
        <w:t>Consigliere</w:t>
      </w:r>
    </w:p>
    <w:p w:rsidR="00B548DC" w:rsidRDefault="00065AD4" w:rsidP="00B548DC">
      <w:pPr>
        <w:pStyle w:val="sentdef"/>
        <w:spacing w:line="240" w:lineRule="auto"/>
        <w:ind w:left="-426" w:right="-1276"/>
        <w:rPr>
          <w:sz w:val="24"/>
          <w:szCs w:val="24"/>
        </w:rPr>
      </w:pPr>
    </w:p>
    <w:p w:rsidR="00B548DC" w:rsidRDefault="00065AD4" w:rsidP="00B548DC">
      <w:pPr>
        <w:pStyle w:val="sentdef"/>
        <w:spacing w:line="240" w:lineRule="auto"/>
        <w:ind w:left="-426" w:right="-1276"/>
        <w:rPr>
          <w:sz w:val="24"/>
          <w:szCs w:val="24"/>
        </w:rPr>
      </w:pPr>
    </w:p>
    <w:p w:rsidR="00B548DC" w:rsidRDefault="00065AD4" w:rsidP="00B548DC">
      <w:pPr>
        <w:pStyle w:val="sentdef"/>
        <w:spacing w:line="240" w:lineRule="auto"/>
        <w:ind w:left="-426" w:right="-1276"/>
        <w:rPr>
          <w:sz w:val="24"/>
          <w:szCs w:val="24"/>
        </w:rPr>
      </w:pPr>
      <w:r>
        <w:rPr>
          <w:sz w:val="24"/>
          <w:szCs w:val="24"/>
        </w:rPr>
        <w:t>L'ESTENSORE</w:t>
      </w:r>
      <w:r>
        <w:rPr>
          <w:sz w:val="24"/>
          <w:szCs w:val="24"/>
        </w:rPr>
        <w:tab/>
      </w:r>
      <w:r>
        <w:rPr>
          <w:sz w:val="24"/>
          <w:szCs w:val="24"/>
        </w:rPr>
        <w:tab/>
      </w:r>
      <w:r>
        <w:rPr>
          <w:sz w:val="24"/>
          <w:szCs w:val="24"/>
        </w:rPr>
        <w:tab/>
      </w:r>
      <w:r>
        <w:rPr>
          <w:sz w:val="24"/>
          <w:szCs w:val="24"/>
        </w:rPr>
        <w:tab/>
      </w:r>
      <w:r>
        <w:rPr>
          <w:sz w:val="24"/>
          <w:szCs w:val="24"/>
        </w:rPr>
        <w:tab/>
        <w:t>IL PRESIDENTE</w:t>
      </w:r>
    </w:p>
    <w:p w:rsidR="00B548DC" w:rsidRDefault="00065AD4" w:rsidP="00B548DC">
      <w:pPr>
        <w:ind w:left="-426" w:right="-1276"/>
        <w:rPr>
          <w:lang w:val="it-IT"/>
        </w:rPr>
      </w:pPr>
      <w:r>
        <w:rPr>
          <w:lang w:val="it-IT"/>
        </w:rPr>
        <w:t>F.to Annibale Ferrari                                           F.to Pier Giorgio Lignani</w:t>
      </w:r>
    </w:p>
    <w:p w:rsidR="00B548DC" w:rsidRDefault="00065AD4" w:rsidP="00B548DC">
      <w:pPr>
        <w:ind w:left="-426" w:right="-1276"/>
        <w:rPr>
          <w:lang w:val="it-IT"/>
        </w:rPr>
      </w:pPr>
    </w:p>
    <w:p w:rsidR="00B548DC" w:rsidRDefault="00065AD4" w:rsidP="00B548DC">
      <w:pPr>
        <w:ind w:left="-426" w:right="-1276"/>
        <w:rPr>
          <w:lang w:val="it-IT"/>
        </w:rPr>
      </w:pPr>
    </w:p>
    <w:p w:rsidR="00B548DC" w:rsidRDefault="00065AD4" w:rsidP="00B548DC">
      <w:pPr>
        <w:ind w:left="-426" w:right="-1276"/>
        <w:jc w:val="center"/>
        <w:rPr>
          <w:lang w:val="it-IT"/>
        </w:rPr>
      </w:pPr>
      <w:r>
        <w:rPr>
          <w:lang w:val="it-IT"/>
        </w:rPr>
        <w:t>IL SEGRETARIO</w:t>
      </w:r>
    </w:p>
    <w:p w:rsidR="00B548DC" w:rsidRDefault="00065AD4" w:rsidP="00B548DC">
      <w:pPr>
        <w:ind w:left="-426" w:right="-1276"/>
        <w:jc w:val="center"/>
        <w:rPr>
          <w:lang w:val="it-IT"/>
        </w:rPr>
      </w:pPr>
      <w:r>
        <w:rPr>
          <w:lang w:val="it-IT"/>
        </w:rPr>
        <w:t>F.to Rossella Cardoni</w:t>
      </w:r>
    </w:p>
    <w:p w:rsidR="00B548DC" w:rsidRDefault="00065AD4" w:rsidP="00B548DC">
      <w:pPr>
        <w:ind w:left="-426" w:right="-1276"/>
        <w:rPr>
          <w:lang w:val="it-IT"/>
        </w:rPr>
      </w:pPr>
    </w:p>
    <w:p w:rsidR="00B548DC" w:rsidRDefault="00065AD4" w:rsidP="00B548DC">
      <w:pPr>
        <w:ind w:left="-426" w:right="-1276"/>
        <w:rPr>
          <w:lang w:val="it-IT"/>
        </w:rPr>
      </w:pPr>
    </w:p>
    <w:sectPr w:rsidR="00B548DC" w:rsidSect="00B548DC">
      <w:headerReference w:type="default" r:id="rId7"/>
      <w:footerReference w:type="default" r:id="rId8"/>
      <w:headerReference w:type="first" r:id="rId9"/>
      <w:footerReference w:type="first" r:id="rId10"/>
      <w:pgSz w:w="11907" w:h="16840"/>
      <w:pgMar w:top="2552" w:right="2268" w:bottom="1701" w:left="226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5AD4" w:rsidRDefault="00065AD4">
      <w:r>
        <w:separator/>
      </w:r>
    </w:p>
  </w:endnote>
  <w:endnote w:type="continuationSeparator" w:id="1">
    <w:p w:rsidR="00065AD4" w:rsidRDefault="0006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8DC" w:rsidRPr="006C6ABC" w:rsidRDefault="00065AD4" w:rsidP="00B548DC">
    <w:pPr>
      <w:jc w:val="center"/>
      <w:rPr>
        <w:rFonts w:ascii="Arial" w:hAnsi="Arial" w:cs="Arial"/>
        <w:sz w:val="20"/>
        <w:szCs w:val="16"/>
      </w:rPr>
    </w:pPr>
    <w:r>
      <w:rPr>
        <w:rFonts w:ascii="Arial" w:hAnsi="Arial"/>
        <w:b/>
      </w:rPr>
      <w:t xml:space="preserve">© </w:t>
    </w:r>
    <w:r w:rsidRPr="006C6ABC">
      <w:rPr>
        <w:rFonts w:ascii="Arial" w:hAnsi="Arial" w:cs="Arial"/>
        <w:sz w:val="20"/>
        <w:szCs w:val="16"/>
      </w:rPr>
      <w:t>Copyright riservato www.dirittoambiente.com -   Riproduzione vietata</w:t>
    </w:r>
  </w:p>
  <w:p w:rsidR="00B548DC" w:rsidRPr="006C6ABC" w:rsidRDefault="00065AD4" w:rsidP="00B548DC">
    <w:pPr>
      <w:jc w:val="center"/>
      <w:rPr>
        <w:sz w:val="20"/>
        <w:szCs w:val="16"/>
      </w:rPr>
    </w:pPr>
    <w:r w:rsidRPr="006C6ABC">
      <w:rPr>
        <w:rFonts w:ascii="Arial" w:hAnsi="Arial" w:cs="Arial"/>
        <w:sz w:val="20"/>
        <w:szCs w:val="16"/>
      </w:rPr>
      <w:t>La pirateria editoriale è reato ai sensi della legge 18-08-2000 n°248</w:t>
    </w:r>
  </w:p>
  <w:p w:rsidR="00B548DC" w:rsidRDefault="00065AD4">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8DC" w:rsidRPr="006C6ABC" w:rsidRDefault="00065AD4" w:rsidP="00B548DC">
    <w:pPr>
      <w:jc w:val="center"/>
      <w:rPr>
        <w:rFonts w:ascii="Arial" w:hAnsi="Arial" w:cs="Arial"/>
        <w:sz w:val="20"/>
        <w:szCs w:val="16"/>
      </w:rPr>
    </w:pPr>
    <w:r>
      <w:rPr>
        <w:rFonts w:ascii="Arial" w:hAnsi="Arial"/>
        <w:b/>
      </w:rPr>
      <w:t xml:space="preserve">© </w:t>
    </w:r>
    <w:r w:rsidRPr="006C6ABC">
      <w:rPr>
        <w:rFonts w:ascii="Arial" w:hAnsi="Arial" w:cs="Arial"/>
        <w:sz w:val="20"/>
        <w:szCs w:val="16"/>
      </w:rPr>
      <w:t>Copyright riservato www.dirittoambiente.com -   Riproduzione vietata</w:t>
    </w:r>
  </w:p>
  <w:p w:rsidR="00B548DC" w:rsidRPr="006C6ABC" w:rsidRDefault="00065AD4" w:rsidP="00B548DC">
    <w:pPr>
      <w:jc w:val="center"/>
      <w:rPr>
        <w:sz w:val="20"/>
        <w:szCs w:val="16"/>
      </w:rPr>
    </w:pPr>
    <w:r w:rsidRPr="006C6ABC">
      <w:rPr>
        <w:rFonts w:ascii="Arial" w:hAnsi="Arial" w:cs="Arial"/>
        <w:sz w:val="20"/>
        <w:szCs w:val="16"/>
      </w:rPr>
      <w:t>La pirateria editoriale è reato</w:t>
    </w:r>
    <w:r w:rsidRPr="006C6ABC">
      <w:rPr>
        <w:rFonts w:ascii="Arial" w:hAnsi="Arial" w:cs="Arial"/>
        <w:sz w:val="20"/>
        <w:szCs w:val="16"/>
      </w:rPr>
      <w:t xml:space="preserve"> ai sensi della legge 18-08-2000 n°248</w:t>
    </w:r>
  </w:p>
  <w:p w:rsidR="00B548DC" w:rsidRDefault="00065AD4">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5AD4" w:rsidRDefault="00065AD4">
      <w:r>
        <w:separator/>
      </w:r>
    </w:p>
  </w:footnote>
  <w:footnote w:type="continuationSeparator" w:id="1">
    <w:p w:rsidR="00065AD4" w:rsidRDefault="00065A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8DC" w:rsidRDefault="00065AD4">
    <w:pPr>
      <w:pStyle w:val="Intestazione"/>
      <w:jc w:val="center"/>
    </w:pPr>
    <w:r>
      <w:t xml:space="preserve">- </w:t>
    </w:r>
    <w:r>
      <w:fldChar w:fldCharType="begin"/>
    </w:r>
    <w:r>
      <w:instrText>\PAGE</w:instrText>
    </w:r>
    <w:r>
      <w:fldChar w:fldCharType="separate"/>
    </w:r>
    <w:r w:rsidR="00553609">
      <w:rPr>
        <w:noProof/>
      </w:rPr>
      <w:t>2</w:t>
    </w:r>
    <w:r>
      <w:fldChar w:fldCharType="end"/>
    </w:r>
    <w:r>
      <w:t xml:space="preserve"> -</w:t>
    </w:r>
  </w:p>
  <w:p w:rsidR="00B548DC" w:rsidRDefault="00553609">
    <w:pPr>
      <w:pStyle w:val="Intestazione"/>
      <w:jc w:val="right"/>
      <w:rPr>
        <w:rFonts w:ascii="Arial" w:hAnsi="Arial" w:cs="Arial"/>
        <w:sz w:val="18"/>
        <w:szCs w:val="18"/>
      </w:rPr>
    </w:pPr>
    <w:r>
      <w:rPr>
        <w:rFonts w:ascii="Arial" w:hAnsi="Arial" w:cs="Arial"/>
        <w:noProof/>
        <w:sz w:val="18"/>
      </w:rPr>
      <w:drawing>
        <wp:anchor distT="0" distB="0" distL="114300" distR="114300" simplePos="0" relativeHeight="251658240" behindDoc="1" locked="0" layoutInCell="1" allowOverlap="1">
          <wp:simplePos x="0" y="0"/>
          <wp:positionH relativeFrom="column">
            <wp:posOffset>-567690</wp:posOffset>
          </wp:positionH>
          <wp:positionV relativeFrom="paragraph">
            <wp:posOffset>106045</wp:posOffset>
          </wp:positionV>
          <wp:extent cx="2271395" cy="672465"/>
          <wp:effectExtent l="19050" t="0" r="0" b="0"/>
          <wp:wrapNone/>
          <wp:docPr id="2" name="Immagine 2" descr="logo diri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diritto"/>
                  <pic:cNvPicPr>
                    <a:picLocks noChangeAspect="1" noChangeArrowheads="1"/>
                  </pic:cNvPicPr>
                </pic:nvPicPr>
                <pic:blipFill>
                  <a:blip r:embed="rId1"/>
                  <a:srcRect/>
                  <a:stretch>
                    <a:fillRect/>
                  </a:stretch>
                </pic:blipFill>
                <pic:spPr bwMode="auto">
                  <a:xfrm>
                    <a:off x="0" y="0"/>
                    <a:ext cx="2271395" cy="672465"/>
                  </a:xfrm>
                  <a:prstGeom prst="rect">
                    <a:avLst/>
                  </a:prstGeom>
                  <a:noFill/>
                  <a:ln w="9525">
                    <a:noFill/>
                    <a:miter lim="800000"/>
                    <a:headEnd/>
                    <a:tailEnd/>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8DC" w:rsidRDefault="00553609">
    <w:pPr>
      <w:pStyle w:val="Intestazione"/>
      <w:jc w:val="center"/>
    </w:pPr>
    <w:r>
      <w:rPr>
        <w:noProof/>
      </w:rPr>
      <w:drawing>
        <wp:anchor distT="0" distB="0" distL="114300" distR="114300" simplePos="0" relativeHeight="251657216" behindDoc="1" locked="0" layoutInCell="1" allowOverlap="1">
          <wp:simplePos x="0" y="0"/>
          <wp:positionH relativeFrom="column">
            <wp:posOffset>-720090</wp:posOffset>
          </wp:positionH>
          <wp:positionV relativeFrom="paragraph">
            <wp:posOffset>99695</wp:posOffset>
          </wp:positionV>
          <wp:extent cx="2271395" cy="672465"/>
          <wp:effectExtent l="19050" t="0" r="0" b="0"/>
          <wp:wrapNone/>
          <wp:docPr id="1" name="Immagine 1" descr="logo diri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iritto"/>
                  <pic:cNvPicPr>
                    <a:picLocks noChangeAspect="1" noChangeArrowheads="1"/>
                  </pic:cNvPicPr>
                </pic:nvPicPr>
                <pic:blipFill>
                  <a:blip r:embed="rId1"/>
                  <a:srcRect/>
                  <a:stretch>
                    <a:fillRect/>
                  </a:stretch>
                </pic:blipFill>
                <pic:spPr bwMode="auto">
                  <a:xfrm>
                    <a:off x="0" y="0"/>
                    <a:ext cx="2271395" cy="672465"/>
                  </a:xfrm>
                  <a:prstGeom prst="rect">
                    <a:avLst/>
                  </a:prstGeom>
                  <a:noFill/>
                  <a:ln w="9525">
                    <a:noFill/>
                    <a:miter lim="800000"/>
                    <a:headEnd/>
                    <a:tailEnd/>
                  </a:ln>
                </pic:spPr>
              </pic:pic>
            </a:graphicData>
          </a:graphic>
        </wp:anchor>
      </w:drawing>
    </w:r>
    <w:r w:rsidR="00065AD4">
      <w:t>- 1 -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B0263"/>
    <w:multiLevelType w:val="hybridMultilevel"/>
    <w:tmpl w:val="168EA6B6"/>
    <w:lvl w:ilvl="0" w:tplc="BA1C78AE">
      <w:start w:val="1"/>
      <w:numFmt w:val="decimal"/>
      <w:lvlText w:val="%1."/>
      <w:lvlJc w:val="left"/>
      <w:pPr>
        <w:tabs>
          <w:tab w:val="num" w:pos="884"/>
        </w:tabs>
        <w:ind w:left="884" w:hanging="600"/>
      </w:pPr>
      <w:rPr>
        <w:rFonts w:hint="default"/>
        <w:b/>
        <w:u w:val="single"/>
      </w:rPr>
    </w:lvl>
    <w:lvl w:ilvl="1" w:tplc="04100019" w:tentative="1">
      <w:start w:val="1"/>
      <w:numFmt w:val="lowerLetter"/>
      <w:lvlText w:val="%2."/>
      <w:lvlJc w:val="left"/>
      <w:pPr>
        <w:tabs>
          <w:tab w:val="num" w:pos="1364"/>
        </w:tabs>
        <w:ind w:left="1364" w:hanging="360"/>
      </w:pPr>
    </w:lvl>
    <w:lvl w:ilvl="2" w:tplc="0410001B" w:tentative="1">
      <w:start w:val="1"/>
      <w:numFmt w:val="lowerRoman"/>
      <w:lvlText w:val="%3."/>
      <w:lvlJc w:val="right"/>
      <w:pPr>
        <w:tabs>
          <w:tab w:val="num" w:pos="2084"/>
        </w:tabs>
        <w:ind w:left="2084" w:hanging="180"/>
      </w:pPr>
    </w:lvl>
    <w:lvl w:ilvl="3" w:tplc="0410000F" w:tentative="1">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1">
    <w:nsid w:val="1959217A"/>
    <w:multiLevelType w:val="hybridMultilevel"/>
    <w:tmpl w:val="4B5EB254"/>
    <w:lvl w:ilvl="0" w:tplc="60C83FF6">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364"/>
        </w:tabs>
        <w:ind w:left="1364" w:hanging="360"/>
      </w:pPr>
    </w:lvl>
    <w:lvl w:ilvl="2" w:tplc="0410001B" w:tentative="1">
      <w:start w:val="1"/>
      <w:numFmt w:val="lowerRoman"/>
      <w:lvlText w:val="%3."/>
      <w:lvlJc w:val="right"/>
      <w:pPr>
        <w:tabs>
          <w:tab w:val="num" w:pos="2084"/>
        </w:tabs>
        <w:ind w:left="2084" w:hanging="180"/>
      </w:pPr>
    </w:lvl>
    <w:lvl w:ilvl="3" w:tplc="0410000F" w:tentative="1">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2">
    <w:nsid w:val="2E1223F0"/>
    <w:multiLevelType w:val="hybridMultilevel"/>
    <w:tmpl w:val="AF32B36C"/>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78650807"/>
    <w:multiLevelType w:val="hybridMultilevel"/>
    <w:tmpl w:val="823CB30C"/>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000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0"/>
    <w:footnote w:id="1"/>
  </w:footnotePr>
  <w:endnotePr>
    <w:endnote w:id="0"/>
    <w:endnote w:id="1"/>
  </w:endnotePr>
  <w:compat/>
  <w:rsids>
    <w:rsidRoot w:val="005B566B"/>
    <w:rsid w:val="00065AD4"/>
    <w:rsid w:val="0055360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sz w:val="24"/>
      <w:lang w:val="en-US"/>
    </w:rPr>
  </w:style>
  <w:style w:type="character" w:default="1" w:styleId="Carpredefinitoparagrafo">
    <w:name w:val="Default Paragraph Font"/>
  </w:style>
  <w:style w:type="table" w:default="1" w:styleId="Tabellanormale">
    <w:name w:val="Normal Table"/>
    <w:semiHidden/>
    <w:rPr>
      <w:lang w:bidi="ar-SA"/>
    </w:rPr>
    <w:tblPr>
      <w:tblInd w:w="0" w:type="dxa"/>
      <w:tblCellMar>
        <w:top w:w="0" w:type="dxa"/>
        <w:left w:w="108" w:type="dxa"/>
        <w:bottom w:w="0" w:type="dxa"/>
        <w:right w:w="108" w:type="dxa"/>
      </w:tblCellMar>
    </w:tblPr>
  </w:style>
  <w:style w:type="numbering" w:default="1" w:styleId="Nessunelenco">
    <w:name w:val="No List"/>
    <w:semiHidden/>
  </w:style>
  <w:style w:type="paragraph" w:customStyle="1" w:styleId="sentdef">
    <w:name w:val="sentdef"/>
    <w:basedOn w:val="Normale"/>
    <w:pPr>
      <w:spacing w:line="567" w:lineRule="exact"/>
      <w:jc w:val="both"/>
    </w:pPr>
    <w:rPr>
      <w:sz w:val="26"/>
      <w:lang w:val="it-IT"/>
    </w:rPr>
  </w:style>
  <w:style w:type="paragraph" w:styleId="Intestazione">
    <w:name w:val="header"/>
    <w:basedOn w:val="Normale"/>
    <w:pPr>
      <w:tabs>
        <w:tab w:val="center" w:pos="4819"/>
        <w:tab w:val="right" w:pos="9071"/>
      </w:tabs>
    </w:pPr>
    <w:rPr>
      <w:sz w:val="20"/>
      <w:lang w:val="it-IT"/>
    </w:rPr>
  </w:style>
  <w:style w:type="paragraph" w:styleId="Pidipagina">
    <w:name w:val="footer"/>
    <w:basedOn w:val="Normale"/>
    <w:pPr>
      <w:tabs>
        <w:tab w:val="center" w:pos="4819"/>
        <w:tab w:val="right" w:pos="9638"/>
      </w:tabs>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1526</Words>
  <Characters>8700</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REPUBBLICA ITALIANA</vt:lpstr>
    </vt:vector>
  </TitlesOfParts>
  <Company>OIPA</Company>
  <LinksUpToDate>false</LinksUpToDate>
  <CharactersWithSpaces>10206</CharactersWithSpaces>
  <SharedDoc>false</SharedDoc>
  <HLinks>
    <vt:vector size="12" baseType="variant">
      <vt:variant>
        <vt:i4>6225933</vt:i4>
      </vt:variant>
      <vt:variant>
        <vt:i4>-1</vt:i4>
      </vt:variant>
      <vt:variant>
        <vt:i4>2049</vt:i4>
      </vt:variant>
      <vt:variant>
        <vt:i4>1</vt:i4>
      </vt:variant>
      <vt:variant>
        <vt:lpwstr>logo diritto</vt:lpwstr>
      </vt:variant>
      <vt:variant>
        <vt:lpwstr/>
      </vt:variant>
      <vt:variant>
        <vt:i4>6225933</vt:i4>
      </vt:variant>
      <vt:variant>
        <vt:i4>-1</vt:i4>
      </vt:variant>
      <vt:variant>
        <vt:i4>2050</vt:i4>
      </vt:variant>
      <vt:variant>
        <vt:i4>1</vt:i4>
      </vt:variant>
      <vt:variant>
        <vt:lpwstr>logo diritto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REPUBBLICA ITALIANA</dc:title>
  <dc:creator>claudio</dc:creator>
  <cp:lastModifiedBy>Max Pradella</cp:lastModifiedBy>
  <cp:revision>2</cp:revision>
  <cp:lastPrinted>2005-04-19T13:50:00Z</cp:lastPrinted>
  <dcterms:created xsi:type="dcterms:W3CDTF">2008-04-10T15:43:00Z</dcterms:created>
  <dcterms:modified xsi:type="dcterms:W3CDTF">2008-04-10T15:43:00Z</dcterms:modified>
</cp:coreProperties>
</file>